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15D44B26" w:rsidR="008B4556" w:rsidRPr="006376ED" w:rsidRDefault="00423D37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6376ED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36D13FF3" w:rsidR="001A1A87" w:rsidRPr="006376ED" w:rsidRDefault="001A1A87" w:rsidP="00423D3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423D37" w:rsidRPr="0029784D">
              <w:rPr>
                <w:rFonts w:ascii="Candara" w:hAnsi="Candara"/>
                <w:iCs/>
                <w:color w:val="FF0000"/>
                <w:sz w:val="22"/>
                <w:szCs w:val="22"/>
              </w:rPr>
              <w:t>Viktor Car Emin</w:t>
            </w:r>
            <w:r w:rsidR="00FF5B6D" w:rsidRPr="0029784D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423D37" w:rsidRPr="0029784D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Mali Učkarić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90860E" w14:textId="31FCE698" w:rsidR="00423D37" w:rsidRPr="00423D37" w:rsidRDefault="00423D37" w:rsidP="00423D37">
            <w:pPr>
              <w:pStyle w:val="ListParagraph"/>
              <w:numPr>
                <w:ilvl w:val="0"/>
                <w:numId w:val="11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23D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A.8.2. Učenik sluša tekst, prosuđuje značenje teksta i povezuje ga sa stečenim znanjem i  iskustvom.</w:t>
            </w:r>
          </w:p>
          <w:p w14:paraId="6933C4D9" w14:textId="51F296CC" w:rsidR="00D96934" w:rsidRPr="00423D37" w:rsidRDefault="00423D37" w:rsidP="00423D37">
            <w:pPr>
              <w:pStyle w:val="ListParagraph"/>
              <w:numPr>
                <w:ilvl w:val="0"/>
                <w:numId w:val="10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23D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B.8.2. Učenik interpretira književni tekst na temelju vlastitoga čitateljskog iskustva i znanja 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1C93EE" w14:textId="77777777" w:rsidR="006832E8" w:rsidRPr="006E0B12" w:rsidRDefault="006832E8" w:rsidP="006832E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vlastite predodžbe i iskustva uspoređujući ih stavovima i vrijednostima u književnome tekstu.</w:t>
            </w:r>
          </w:p>
          <w:p w14:paraId="6263D040" w14:textId="3816E952" w:rsidR="006832E8" w:rsidRPr="00061CE5" w:rsidRDefault="006832E8" w:rsidP="006832E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Navodi obilježja socijalne pripovijetke i potkrepljuje ih navodima iz </w:t>
            </w:r>
            <w:r w:rsidR="00747BF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2A390955" w14:textId="26E10C96" w:rsidR="006832E8" w:rsidRPr="00061CE5" w:rsidRDefault="006832E8" w:rsidP="006832E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Navodi osobine lika koje pripadaju socijalnoj karakterizaciji i potkrepljuje ih navodima iz </w:t>
            </w:r>
            <w:r w:rsidR="00747BF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20AD4B73" w:rsidR="00061CE5" w:rsidRPr="00D96934" w:rsidRDefault="006832E8" w:rsidP="00747BFC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vrijednosti i stavove koje književni tekst promiče te na temelju navedenoga oblikuje ideju </w:t>
            </w:r>
            <w:r w:rsidR="00747BF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pripovijetke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2612380E" w14:textId="77777777" w:rsidR="006832E8" w:rsidRPr="006832E8" w:rsidRDefault="00CD062E" w:rsidP="006832E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6832E8" w:rsidRPr="006832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23FD2C95" w14:textId="77777777" w:rsidR="006832E8" w:rsidRPr="006832E8" w:rsidRDefault="006832E8" w:rsidP="006832E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832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iznositi svoja zapažanja i stavove potaknute književnim tekstom</w:t>
            </w:r>
          </w:p>
          <w:p w14:paraId="42A40C26" w14:textId="77777777" w:rsidR="006832E8" w:rsidRPr="006832E8" w:rsidRDefault="006832E8" w:rsidP="006832E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832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razvijati sposobnost samostalnoga rada na književnome tekstu</w:t>
            </w:r>
          </w:p>
          <w:p w14:paraId="2A72D43D" w14:textId="77777777" w:rsidR="006832E8" w:rsidRPr="006832E8" w:rsidRDefault="006832E8" w:rsidP="006832E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832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– objasniti na koji način i u kojoj mjeri književni tekst utječe na oblikovanje njegovih stavova i </w:t>
            </w:r>
          </w:p>
          <w:p w14:paraId="0499851E" w14:textId="1244F81D" w:rsidR="00CD062E" w:rsidRPr="00061CE5" w:rsidRDefault="006832E8" w:rsidP="006832E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832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vrijednosti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293C7EBA" w:rsidR="006A44D6" w:rsidRPr="00E34E1C" w:rsidRDefault="00E34E1C" w:rsidP="006832E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na razgovor </w:t>
            </w:r>
            <w:r w:rsidR="006832E8">
              <w:rPr>
                <w:rFonts w:ascii="Candara" w:hAnsi="Candara" w:cs="Arial"/>
                <w:sz w:val="22"/>
                <w:szCs w:val="22"/>
                <w:lang w:eastAsia="en-US"/>
              </w:rPr>
              <w:t>podatkom europskog statističkog ureda Eurostata iz 2016. godine koji kaže da je više od četvrtine djece u zemljama Europske unije bilo izloženo riziku od siromaštva i društvene izolacije. Tražimo da objasne na koji način siromaštvo može biti povezano s društvenom izolacijom te kako ona utječe na djecu.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C4ECD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35FED84A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22EF3CF6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2F27BFA1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3D26D89D" w14:textId="52EB80E5" w:rsidR="00760AED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747BFC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pripovijetke</w:t>
            </w: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760A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789902FC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29784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prvi dio ili živa riječ učitelja.</w:t>
            </w:r>
          </w:p>
          <w:p w14:paraId="65B182E2" w14:textId="3C65BC97" w:rsidR="00760AED" w:rsidRDefault="003B6991" w:rsidP="006A44D6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6832E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svoje odgovore u uvodnome dijelu sata s temom </w:t>
            </w:r>
            <w:r w:rsidR="00747B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pripovijetke</w:t>
            </w:r>
            <w:r w:rsidR="0076474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 Objašnjavaju na koji je način Učkarićevo siromaštvo utjecalo na to da se osjeća usamljeno i neprihvaćeno.</w:t>
            </w:r>
          </w:p>
          <w:p w14:paraId="047BB503" w14:textId="616D19E2" w:rsidR="00760AED" w:rsidRPr="00760AED" w:rsidRDefault="00022A6B" w:rsidP="00760AE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dojmova slijedi interpretacija </w:t>
            </w:r>
            <w:r w:rsidR="00747B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pripovijetke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 U prvome dijelu interpretacije p</w:t>
            </w:r>
            <w:r w:rsidR="002B38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rovjeravamo razumijevanje </w:t>
            </w:r>
            <w:r w:rsidR="00747B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teksta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sljedećim pitanjima: </w:t>
            </w:r>
            <w:r w:rsidR="0076474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Tko je mali Učkarić? S kime je i zbog čega došao u grad? Kako se osjeća u društvu dječaka koji su ga zatekli na trgu kako čeka djedov povratak? U kakvu su odnosu pojedinosti kojima pripovjedač opisuje izgled dječaka i maloga Učkarića? Kako se dječaci odnose prema Učkariću? Koju je svoju želju Učkarić podijelio s dječacima? Zašto ju ne može ostvariti?</w:t>
            </w:r>
          </w:p>
          <w:p w14:paraId="478AE2C5" w14:textId="08A507C6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zaključe </w:t>
            </w:r>
            <w:r w:rsidR="00747B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kako se treba </w:t>
            </w:r>
            <w:r w:rsidR="00747B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odnositi prema potrebitima te na koji su način dječaci mogli pomoći malome Učkariću da se osjeća prihvaćeno.</w:t>
            </w:r>
          </w:p>
          <w:p w14:paraId="3060F9A9" w14:textId="5695BB6E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</w:t>
            </w:r>
            <w:r w:rsidR="00747B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objašnjavamo što je socijalna pripovijetka te potičemo učenike da izdvoje njezina obilježja iz pripovijetke Viktora Cara Emina. Objašnjavamo što je socijalna karakterizacija i potičemo učenike da opišu Učkarića navodeći pojedinosti koje pripadaju socijalnoj karakterizaciji. Nakon toga zaključujemo interpretaciju citiranjem završnoga dijela pripovijetke na temelju kojega učenici određuju ideju.</w:t>
            </w:r>
          </w:p>
          <w:p w14:paraId="7B65799D" w14:textId="348B3D9A" w:rsidR="00FA42C7" w:rsidRPr="006376ED" w:rsidRDefault="00FA42C7" w:rsidP="00747BFC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747B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objašnjavajući na koji način obrazovanje može pomoći boljemu razumijevanju socijalnoga položaja siromašnih. Učenici predlažu načine na koje bi društvo dodatno moglo pomoći potrebitim ljudima.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6D67AE7" w14:textId="0D35AE90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466772B" w14:textId="77777777" w:rsidR="00747BFC" w:rsidRPr="006376ED" w:rsidRDefault="00747BFC" w:rsidP="00747BFC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0C65451C" w14:textId="5C6A6BBE" w:rsidR="002215C8" w:rsidRPr="00747BFC" w:rsidRDefault="002215C8" w:rsidP="00747BF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772DDE" w14:textId="4F02690E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5ACE2F8F" w14:textId="79B435D5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182161B" w14:textId="77777777" w:rsidR="00747BFC" w:rsidRDefault="00747BFC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67130" w14:textId="3557B96E" w:rsidR="00822A49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2A49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11B6CBC8" w:rsidR="00EF0353" w:rsidRPr="006376ED" w:rsidRDefault="003A1F68" w:rsidP="005300E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 w:rsidR="00822A49">
              <w:rPr>
                <w:rFonts w:ascii="Candara" w:hAnsi="Candara"/>
                <w:color w:val="000000"/>
                <w:sz w:val="22"/>
                <w:szCs w:val="22"/>
              </w:rPr>
              <w:t>odgovoriti na pitanja i provjeriti svoje razumijevanje pročitanoga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40693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300E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1CF6B39B" w:rsidR="00822A49" w:rsidRPr="006376ED" w:rsidRDefault="00A52FF2" w:rsidP="00822A49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Istraži na koji je način obrazovanje povezano s rizikom od siromaštva te mogu li se neobrazovani ljudi izboriti za bolji socijalni položaj. Navedi prepreke na koje pritom mogu naići. Rezultate svojega istraživanja predstavi u razredu.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BC6081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2995F30E" w:rsidR="00EF0353" w:rsidRPr="00DD072C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16976A0B" w:rsidR="004A7DC2" w:rsidRPr="00EF0353" w:rsidRDefault="00DC3C66" w:rsidP="00EF0353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tumačenje manje poznatih riječi radi boljega razumijevanja ulomka u cjelini</w:t>
            </w:r>
            <w:r w:rsidR="00EF0353" w:rsidRP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          </w:t>
            </w:r>
            <w:r w:rsidR="00EF0353" w:rsidRPr="00EF035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‒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AB7748" w14:textId="77777777" w:rsidR="00EF0353" w:rsidRDefault="00DC3C66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vrednovanje aktivnosti u kojima su se učenici istaknuli, primjerice odgovori na pitanja o razumijevanju slušanoga teksta</w:t>
            </w:r>
          </w:p>
          <w:p w14:paraId="2CB47793" w14:textId="77777777" w:rsidR="00E937E9" w:rsidRDefault="00EF0353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14:paraId="225BFF0F" w14:textId="77777777" w:rsidR="00406936" w:rsidRDefault="00406936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3E54AA91" w14:textId="77777777" w:rsidR="00406936" w:rsidRDefault="00406936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51206324" w14:textId="77777777" w:rsidR="00406936" w:rsidRDefault="00406936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628831CB" w14:textId="77777777" w:rsidR="00406936" w:rsidRDefault="00406936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4CDBE0FA" w14:textId="0E9EF4C1" w:rsidR="00406936" w:rsidRPr="006376ED" w:rsidRDefault="0040693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4871C517" w:rsidR="00022A6B" w:rsidRDefault="00A52FF2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06936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Viktor Car Emin</w:t>
            </w:r>
            <w:r w:rsidR="00760AED" w:rsidRPr="00406936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406936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Mali Učkarić</w:t>
            </w:r>
          </w:p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0BD844D" w14:textId="75E048B4" w:rsidR="00022A6B" w:rsidRPr="00A52FF2" w:rsidRDefault="00A52FF2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Književni rod i vrsta: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epika, socijalna pripovijetka</w:t>
            </w:r>
          </w:p>
          <w:p w14:paraId="385226FD" w14:textId="42AE8CA7" w:rsidR="00A52FF2" w:rsidRDefault="00A52FF2" w:rsidP="00A52FF2">
            <w:pPr>
              <w:pStyle w:val="ListParagraph"/>
              <w:ind w:left="269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D56CD37" w14:textId="3784E6E9" w:rsidR="00A52FF2" w:rsidRPr="00A52FF2" w:rsidRDefault="00A52FF2" w:rsidP="00A52FF2">
            <w:pPr>
              <w:pStyle w:val="ListParagraph"/>
              <w:ind w:left="269"/>
              <w:rPr>
                <w:rFonts w:ascii="Candara" w:hAnsi="Candara" w:cs="Arial"/>
                <w:b w:val="0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Socijalna pripovijetka </w:t>
            </w: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>književna je vrsta u kojoj se prikazuju društveni problemi i pojave. U njoj se pripovijeda o nepravdama u društvu, odnosu siromašnih i bogatih, nebrizi društva za običnoga, „malog“ čovjeka.</w:t>
            </w:r>
          </w:p>
          <w:p w14:paraId="41680358" w14:textId="77777777" w:rsidR="00022A6B" w:rsidRDefault="00022A6B" w:rsidP="00760AED">
            <w:pPr>
              <w:pStyle w:val="ListParagraph"/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189447F" w14:textId="7FA295DE" w:rsidR="00C806D6" w:rsidRDefault="00A52FF2" w:rsidP="00A52FF2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Tema: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Dolazak maloga Učkarića u grad i susret sa školarcima.</w:t>
            </w:r>
          </w:p>
          <w:p w14:paraId="1B5C6F12" w14:textId="77777777" w:rsidR="00A52FF2" w:rsidRDefault="00A52FF2" w:rsidP="00A52FF2">
            <w:pPr>
              <w:pStyle w:val="ListParagraph"/>
              <w:ind w:left="26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BFDCC44" w14:textId="20834A14" w:rsidR="00760AED" w:rsidRDefault="00A52FF2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Mali Učkarić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siromašan, promrzao, gladan…</w:t>
            </w:r>
          </w:p>
          <w:p w14:paraId="0852B6EC" w14:textId="77777777" w:rsidR="00A52FF2" w:rsidRDefault="00A52FF2" w:rsidP="00A52FF2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…na njemu sve poraskidano, blatno i od ugljena crno!</w:t>
            </w:r>
          </w:p>
          <w:p w14:paraId="1AAE639B" w14:textId="77777777" w:rsidR="00A52FF2" w:rsidRDefault="00A52FF2" w:rsidP="00A52FF2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…na njemu opanci sa deset zakrpa i rupa! Eno i prsti mu kroz njih</w:t>
            </w:r>
          </w:p>
          <w:p w14:paraId="67BD92DE" w14:textId="284084CB" w:rsidR="00A52FF2" w:rsidRPr="00A52FF2" w:rsidRDefault="00A52FF2" w:rsidP="00A52FF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38BBE0" wp14:editId="28A853A4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128905</wp:posOffset>
                      </wp:positionV>
                      <wp:extent cx="0" cy="175260"/>
                      <wp:effectExtent l="76200" t="0" r="57150" b="5334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0CC0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222.95pt;margin-top:10.15pt;width:0;height:13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vire…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  <w:p w14:paraId="3F116CF9" w14:textId="54DFC976" w:rsidR="00A52FF2" w:rsidRPr="00A52FF2" w:rsidRDefault="00037332" w:rsidP="00A52FF2">
            <w:pPr>
              <w:pStyle w:val="ListParagraph"/>
              <w:ind w:left="26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760AED">
              <w:rPr>
                <w:rFonts w:ascii="Candara" w:hAnsi="Candara" w:cs="Arial"/>
                <w:sz w:val="22"/>
                <w:szCs w:val="22"/>
                <w:lang w:eastAsia="en-US"/>
              </w:rPr>
              <w:tab/>
            </w:r>
            <w:r w:rsidRPr="00760AED">
              <w:rPr>
                <w:rFonts w:ascii="Candara" w:hAnsi="Candara" w:cs="Arial"/>
                <w:sz w:val="22"/>
                <w:szCs w:val="22"/>
                <w:lang w:eastAsia="en-US"/>
              </w:rPr>
              <w:tab/>
              <w:t xml:space="preserve">     </w:t>
            </w:r>
          </w:p>
          <w:p w14:paraId="11768128" w14:textId="77777777" w:rsidR="00A52FF2" w:rsidRDefault="00A52FF2" w:rsidP="00022A6B">
            <w:pPr>
              <w:ind w:left="132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SOCIJALNA KARAKTERIZACIJA LIKA</w:t>
            </w:r>
          </w:p>
          <w:p w14:paraId="2D7D0402" w14:textId="77777777" w:rsidR="00A52FF2" w:rsidRDefault="00A52FF2" w:rsidP="00022A6B">
            <w:pPr>
              <w:ind w:left="132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4B721003" w14:textId="2ECBAFA1" w:rsidR="00C95FF1" w:rsidRDefault="00A52FF2" w:rsidP="00A52FF2">
            <w:pPr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Socijalna karakterizacija lika </w:t>
            </w: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>otkriva društveni položaj lika te utjecaj životnih okolnosti i društva na njegov život, mišljenje i ponašanje.</w:t>
            </w:r>
            <w:r w:rsidR="00C806D6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</w:t>
            </w:r>
          </w:p>
          <w:p w14:paraId="571D6CBB" w14:textId="77777777" w:rsidR="00A52FF2" w:rsidRDefault="00A52FF2" w:rsidP="00A52FF2">
            <w:pPr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14:paraId="4D43AA42" w14:textId="31766AA4" w:rsidR="00C95FF1" w:rsidRPr="00C95FF1" w:rsidRDefault="00A52FF2" w:rsidP="00C95FF1">
            <w:pPr>
              <w:pStyle w:val="ListParagraph"/>
              <w:numPr>
                <w:ilvl w:val="0"/>
                <w:numId w:val="9"/>
              </w:numPr>
              <w:ind w:left="269" w:hanging="218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Ideja: </w:t>
            </w:r>
            <w:r w:rsidR="00C727B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Veličina i moralnost svakoga čovjeka mjeri se prema njegovu odnosu prema najslabijima.</w:t>
            </w:r>
          </w:p>
          <w:p w14:paraId="7D5C7DA9" w14:textId="5BCF392B" w:rsidR="00C806D6" w:rsidRPr="00FA2E59" w:rsidRDefault="00C806D6" w:rsidP="00A52FF2">
            <w:pPr>
              <w:ind w:left="132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3043F7D" w:rsidR="00E937E9" w:rsidRPr="006376ED" w:rsidRDefault="00E937E9" w:rsidP="00C727B2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C727B2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7EFC02" w14:textId="77777777" w:rsidR="00037332" w:rsidRDefault="00C727B2" w:rsidP="00037332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TV kalendar – o životu i djelu Viktora Cara Emina</w:t>
            </w:r>
          </w:p>
          <w:p w14:paraId="0784DA31" w14:textId="69231746" w:rsidR="00C727B2" w:rsidRDefault="00406936" w:rsidP="00037332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8" w:history="1">
              <w:r w:rsidR="00C727B2" w:rsidRPr="00707F99">
                <w:rPr>
                  <w:rStyle w:val="Hyperlink"/>
                  <w:rFonts w:ascii="Candara" w:hAnsi="Candara"/>
                  <w:sz w:val="22"/>
                  <w:szCs w:val="22"/>
                </w:rPr>
                <w:t>https://www.youtube.com/watch?v=DQFYUs3l0SY</w:t>
              </w:r>
            </w:hyperlink>
          </w:p>
          <w:p w14:paraId="703FE1D8" w14:textId="718B4938" w:rsidR="00C727B2" w:rsidRPr="00C727B2" w:rsidRDefault="00C727B2" w:rsidP="00037332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22710BA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–ponašanje.</w:t>
            </w:r>
          </w:p>
          <w:p w14:paraId="65D7CCF8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3F1D3BD7" w14:textId="5626BEC2" w:rsidR="003C4933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127AD" w14:textId="77777777" w:rsidR="00347365" w:rsidRDefault="00347365" w:rsidP="00EA1CD5">
      <w:r>
        <w:separator/>
      </w:r>
    </w:p>
  </w:endnote>
  <w:endnote w:type="continuationSeparator" w:id="0">
    <w:p w14:paraId="298BD771" w14:textId="77777777" w:rsidR="00347365" w:rsidRDefault="0034736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7163E" w14:textId="77777777" w:rsidR="00347365" w:rsidRDefault="00347365" w:rsidP="00EA1CD5">
      <w:r>
        <w:separator/>
      </w:r>
    </w:p>
  </w:footnote>
  <w:footnote w:type="continuationSeparator" w:id="0">
    <w:p w14:paraId="2B98B4CE" w14:textId="77777777" w:rsidR="00347365" w:rsidRDefault="00347365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20EF4"/>
    <w:multiLevelType w:val="hybridMultilevel"/>
    <w:tmpl w:val="A1E2041C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320EA1"/>
    <w:multiLevelType w:val="hybridMultilevel"/>
    <w:tmpl w:val="EE4430F8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37B75AB"/>
    <w:multiLevelType w:val="hybridMultilevel"/>
    <w:tmpl w:val="B6DEF572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37332"/>
    <w:rsid w:val="00061CE5"/>
    <w:rsid w:val="00077286"/>
    <w:rsid w:val="000B464C"/>
    <w:rsid w:val="000E351F"/>
    <w:rsid w:val="00105956"/>
    <w:rsid w:val="00110BA0"/>
    <w:rsid w:val="00122625"/>
    <w:rsid w:val="00136C5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912B5"/>
    <w:rsid w:val="0029784D"/>
    <w:rsid w:val="002A4AA2"/>
    <w:rsid w:val="002B380A"/>
    <w:rsid w:val="002B5916"/>
    <w:rsid w:val="002D4520"/>
    <w:rsid w:val="002E4A73"/>
    <w:rsid w:val="003247E4"/>
    <w:rsid w:val="00347365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09C9"/>
    <w:rsid w:val="003F24FC"/>
    <w:rsid w:val="00406936"/>
    <w:rsid w:val="00417898"/>
    <w:rsid w:val="004218ED"/>
    <w:rsid w:val="00423D37"/>
    <w:rsid w:val="0043369B"/>
    <w:rsid w:val="00474616"/>
    <w:rsid w:val="00481245"/>
    <w:rsid w:val="00484966"/>
    <w:rsid w:val="00487538"/>
    <w:rsid w:val="004A70C9"/>
    <w:rsid w:val="004A7DC2"/>
    <w:rsid w:val="004F15B4"/>
    <w:rsid w:val="00505414"/>
    <w:rsid w:val="005121F9"/>
    <w:rsid w:val="00513977"/>
    <w:rsid w:val="00524738"/>
    <w:rsid w:val="005300E4"/>
    <w:rsid w:val="00543A7B"/>
    <w:rsid w:val="0056051E"/>
    <w:rsid w:val="00564850"/>
    <w:rsid w:val="00572133"/>
    <w:rsid w:val="00573711"/>
    <w:rsid w:val="005F23CD"/>
    <w:rsid w:val="005F6F42"/>
    <w:rsid w:val="005F7F7C"/>
    <w:rsid w:val="00622CAE"/>
    <w:rsid w:val="006376ED"/>
    <w:rsid w:val="006832E8"/>
    <w:rsid w:val="00690479"/>
    <w:rsid w:val="00694AE6"/>
    <w:rsid w:val="006A29F4"/>
    <w:rsid w:val="006A44D6"/>
    <w:rsid w:val="006E50B6"/>
    <w:rsid w:val="00704FF9"/>
    <w:rsid w:val="007104B0"/>
    <w:rsid w:val="00720CA0"/>
    <w:rsid w:val="00721789"/>
    <w:rsid w:val="00722050"/>
    <w:rsid w:val="00747BFC"/>
    <w:rsid w:val="0076007A"/>
    <w:rsid w:val="00760AED"/>
    <w:rsid w:val="007613F8"/>
    <w:rsid w:val="00764745"/>
    <w:rsid w:val="00767CD4"/>
    <w:rsid w:val="00775DE7"/>
    <w:rsid w:val="007779DB"/>
    <w:rsid w:val="00780570"/>
    <w:rsid w:val="007934FA"/>
    <w:rsid w:val="007C3CF4"/>
    <w:rsid w:val="007D42C0"/>
    <w:rsid w:val="007E780C"/>
    <w:rsid w:val="00800ADA"/>
    <w:rsid w:val="00822A49"/>
    <w:rsid w:val="008430C7"/>
    <w:rsid w:val="00843916"/>
    <w:rsid w:val="008561F4"/>
    <w:rsid w:val="00892154"/>
    <w:rsid w:val="00892BA6"/>
    <w:rsid w:val="008949D4"/>
    <w:rsid w:val="008A3EC5"/>
    <w:rsid w:val="008B4556"/>
    <w:rsid w:val="008C6657"/>
    <w:rsid w:val="008D7614"/>
    <w:rsid w:val="008F648F"/>
    <w:rsid w:val="00903FD9"/>
    <w:rsid w:val="00945987"/>
    <w:rsid w:val="00954A9E"/>
    <w:rsid w:val="00995B0A"/>
    <w:rsid w:val="009A5E40"/>
    <w:rsid w:val="009B7C5B"/>
    <w:rsid w:val="009D0BB6"/>
    <w:rsid w:val="009D7E6B"/>
    <w:rsid w:val="009E7628"/>
    <w:rsid w:val="009F4424"/>
    <w:rsid w:val="00A52FF2"/>
    <w:rsid w:val="00A66036"/>
    <w:rsid w:val="00A776F0"/>
    <w:rsid w:val="00A82375"/>
    <w:rsid w:val="00AA6333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B4F25"/>
    <w:rsid w:val="00BB6C93"/>
    <w:rsid w:val="00BC6081"/>
    <w:rsid w:val="00BE5399"/>
    <w:rsid w:val="00BF3A92"/>
    <w:rsid w:val="00C402FB"/>
    <w:rsid w:val="00C4038F"/>
    <w:rsid w:val="00C40D41"/>
    <w:rsid w:val="00C42C4F"/>
    <w:rsid w:val="00C5217D"/>
    <w:rsid w:val="00C727B2"/>
    <w:rsid w:val="00C806D6"/>
    <w:rsid w:val="00C95FF1"/>
    <w:rsid w:val="00CA630C"/>
    <w:rsid w:val="00CD062E"/>
    <w:rsid w:val="00CE616E"/>
    <w:rsid w:val="00D1651B"/>
    <w:rsid w:val="00D32541"/>
    <w:rsid w:val="00D872A7"/>
    <w:rsid w:val="00D96009"/>
    <w:rsid w:val="00D96934"/>
    <w:rsid w:val="00DC3C66"/>
    <w:rsid w:val="00DD072C"/>
    <w:rsid w:val="00E061D3"/>
    <w:rsid w:val="00E17685"/>
    <w:rsid w:val="00E34E1C"/>
    <w:rsid w:val="00E406C1"/>
    <w:rsid w:val="00E84F24"/>
    <w:rsid w:val="00E937E9"/>
    <w:rsid w:val="00EA1CD5"/>
    <w:rsid w:val="00EA3E12"/>
    <w:rsid w:val="00EF0353"/>
    <w:rsid w:val="00F07933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QFYUs3l0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D815-B733-4527-B607-97F277A7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27</cp:revision>
  <dcterms:created xsi:type="dcterms:W3CDTF">2019-06-30T13:00:00Z</dcterms:created>
  <dcterms:modified xsi:type="dcterms:W3CDTF">2021-07-07T13:30:00Z</dcterms:modified>
</cp:coreProperties>
</file>